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7" w:rsidRPr="007B54D7" w:rsidRDefault="007B54D7" w:rsidP="007B54D7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273810" cy="914400"/>
            <wp:effectExtent l="0" t="0" r="0" b="0"/>
            <wp:docPr id="1" name="Picture 1" descr="ouncil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ncil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D7" w:rsidRPr="007B54D7" w:rsidRDefault="007B54D7" w:rsidP="007B54D7">
      <w:pPr>
        <w:spacing w:before="100" w:beforeAutospacing="1" w:after="100" w:afterAutospacing="1"/>
        <w:ind w:left="720"/>
        <w:outlineLvl w:val="1"/>
        <w:rPr>
          <w:rFonts w:ascii="Arial" w:eastAsia="Times New Roman" w:hAnsi="Arial" w:cs="Arial"/>
          <w:b/>
          <w:bCs/>
          <w:color w:val="405877"/>
          <w:sz w:val="37"/>
          <w:szCs w:val="37"/>
        </w:rPr>
      </w:pPr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Protocol No. 7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to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the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Convention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for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the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Protection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of Human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Rights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and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Fundamental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t>Freedoms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37"/>
          <w:szCs w:val="37"/>
        </w:rPr>
        <w:br/>
      </w:r>
      <w:r w:rsidRPr="007B54D7">
        <w:rPr>
          <w:rFonts w:ascii="Arial" w:eastAsia="Times New Roman" w:hAnsi="Arial" w:cs="Arial"/>
          <w:b/>
          <w:bCs/>
          <w:color w:val="0000A0"/>
          <w:sz w:val="37"/>
          <w:szCs w:val="37"/>
        </w:rPr>
        <w:t xml:space="preserve">as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37"/>
          <w:szCs w:val="37"/>
        </w:rPr>
        <w:t>amended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37"/>
          <w:szCs w:val="37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37"/>
          <w:szCs w:val="37"/>
        </w:rPr>
        <w:t>by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37"/>
          <w:szCs w:val="37"/>
        </w:rPr>
        <w:t xml:space="preserve"> Protocol No. 11</w:t>
      </w:r>
    </w:p>
    <w:p w:rsidR="007B54D7" w:rsidRPr="007B54D7" w:rsidRDefault="007B54D7" w:rsidP="007B54D7">
      <w:pPr>
        <w:spacing w:before="100" w:beforeAutospacing="1" w:after="100" w:afterAutospacing="1"/>
        <w:ind w:left="720"/>
        <w:outlineLvl w:val="2"/>
        <w:rPr>
          <w:rFonts w:ascii="Arial" w:eastAsia="Times New Roman" w:hAnsi="Arial" w:cs="Arial"/>
          <w:color w:val="333333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333333"/>
          <w:sz w:val="22"/>
          <w:szCs w:val="22"/>
        </w:rPr>
        <w:t>Strasbourg</w:t>
      </w:r>
      <w:proofErr w:type="spellEnd"/>
      <w:r w:rsidRPr="007B54D7">
        <w:rPr>
          <w:rFonts w:ascii="Arial" w:eastAsia="Times New Roman" w:hAnsi="Arial" w:cs="Arial"/>
          <w:color w:val="333333"/>
          <w:sz w:val="22"/>
          <w:szCs w:val="22"/>
        </w:rPr>
        <w:t>, 22.XI.1984</w:t>
      </w:r>
    </w:p>
    <w:p w:rsidR="007B54D7" w:rsidRPr="007B54D7" w:rsidRDefault="007B54D7" w:rsidP="007B54D7">
      <w:pPr>
        <w:spacing w:before="100" w:beforeAutospacing="1" w:after="100" w:afterAutospacing="1"/>
        <w:ind w:left="720"/>
        <w:outlineLvl w:val="4"/>
        <w:rPr>
          <w:rFonts w:ascii="Arial" w:eastAsia="Times New Roman" w:hAnsi="Arial" w:cs="Arial"/>
          <w:b/>
          <w:bCs/>
          <w:color w:val="405877"/>
          <w:sz w:val="20"/>
          <w:szCs w:val="20"/>
        </w:rPr>
      </w:pP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Headings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of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articles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added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and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text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amended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according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to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the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provisions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of Protocol No. 11 (ETS No. 155) as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from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its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entry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into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force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on 1 </w:t>
      </w:r>
      <w:proofErr w:type="spellStart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>November</w:t>
      </w:r>
      <w:proofErr w:type="spellEnd"/>
      <w:r w:rsidRPr="007B54D7">
        <w:rPr>
          <w:rFonts w:ascii="Arial" w:eastAsia="Times New Roman" w:hAnsi="Arial" w:cs="Arial"/>
          <w:b/>
          <w:bCs/>
          <w:color w:val="0000A0"/>
          <w:sz w:val="20"/>
          <w:szCs w:val="20"/>
        </w:rPr>
        <w:t xml:space="preserve"> 1998.</w:t>
      </w:r>
    </w:p>
    <w:p w:rsidR="007B54D7" w:rsidRPr="007B54D7" w:rsidRDefault="007B54D7" w:rsidP="007B54D7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0000"/>
          <w:sz w:val="22"/>
          <w:szCs w:val="22"/>
        </w:rPr>
      </w:pPr>
      <w:hyperlink r:id="rId7" w:history="1"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Convention</w:t>
        </w:r>
        <w:proofErr w:type="spellEnd"/>
      </w:hyperlink>
      <w:r w:rsidRPr="007B54D7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Protocols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>: </w:t>
      </w:r>
      <w:hyperlink r:id="rId8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No. 1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t> | </w:t>
      </w:r>
      <w:hyperlink r:id="rId9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No. 4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t> | </w:t>
      </w:r>
      <w:hyperlink r:id="rId10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No. 6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br/>
      </w:r>
      <w:hyperlink r:id="rId11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No. 12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t> | </w:t>
      </w:r>
      <w:hyperlink r:id="rId12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No. 13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t> | </w:t>
      </w:r>
      <w:hyperlink r:id="rId13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No. 15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br/>
      </w:r>
      <w:hyperlink r:id="rId14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No. 16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br/>
      </w:r>
      <w:r w:rsidRPr="007B54D7">
        <w:rPr>
          <w:rFonts w:ascii="Arial" w:hAnsi="Arial" w:cs="Arial"/>
          <w:color w:val="000000"/>
          <w:sz w:val="22"/>
          <w:szCs w:val="22"/>
        </w:rPr>
        <w:br/>
      </w:r>
      <w:hyperlink r:id="rId15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Chart of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Declarations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under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former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paragraph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2 of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Article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7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t> </w:t>
      </w:r>
      <w:r w:rsidRPr="007B54D7">
        <w:rPr>
          <w:rFonts w:ascii="Arial" w:hAnsi="Arial" w:cs="Arial"/>
          <w:color w:val="000000"/>
          <w:sz w:val="22"/>
          <w:szCs w:val="22"/>
        </w:rPr>
        <w:br/>
      </w:r>
      <w:hyperlink r:id="rId16" w:history="1"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Explanatory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Report</w:t>
        </w:r>
      </w:hyperlink>
      <w:r w:rsidRPr="007B54D7">
        <w:rPr>
          <w:rFonts w:ascii="Arial" w:hAnsi="Arial" w:cs="Arial"/>
          <w:color w:val="000000"/>
          <w:sz w:val="22"/>
          <w:szCs w:val="22"/>
        </w:rPr>
        <w:br/>
      </w:r>
      <w:hyperlink r:id="rId17" w:history="1"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Français</w:t>
        </w:r>
        <w:proofErr w:type="spellEnd"/>
      </w:hyperlink>
      <w:r w:rsidRPr="007B54D7">
        <w:rPr>
          <w:rFonts w:ascii="Arial" w:hAnsi="Arial" w:cs="Arial"/>
          <w:color w:val="000000"/>
          <w:sz w:val="22"/>
          <w:szCs w:val="22"/>
        </w:rPr>
        <w:br/>
      </w:r>
      <w:hyperlink r:id="rId18" w:anchor="117" w:history="1"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Translations</w:t>
        </w:r>
        <w:proofErr w:type="spellEnd"/>
      </w:hyperlink>
    </w:p>
    <w:p w:rsidR="007B54D7" w:rsidRPr="007B54D7" w:rsidRDefault="007B54D7" w:rsidP="007B54D7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0000"/>
          <w:sz w:val="22"/>
          <w:szCs w:val="22"/>
        </w:rPr>
      </w:pPr>
      <w:hyperlink r:id="rId19" w:history="1"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European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Court of Human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Rights</w:t>
        </w:r>
        <w:proofErr w:type="spellEnd"/>
      </w:hyperlink>
      <w:r w:rsidRPr="007B54D7">
        <w:rPr>
          <w:rFonts w:ascii="Arial" w:hAnsi="Arial" w:cs="Arial"/>
          <w:color w:val="FF0000"/>
          <w:sz w:val="22"/>
          <w:szCs w:val="22"/>
        </w:rPr>
        <w:br/>
      </w:r>
      <w:proofErr w:type="spellStart"/>
      <w:r w:rsidRPr="007B54D7">
        <w:rPr>
          <w:rFonts w:ascii="Arial" w:hAnsi="Arial" w:cs="Arial"/>
          <w:color w:val="FF0000"/>
          <w:sz w:val="22"/>
          <w:szCs w:val="22"/>
        </w:rPr>
        <w:t>Steering</w:t>
      </w:r>
      <w:proofErr w:type="spellEnd"/>
      <w:r w:rsidRPr="007B54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FF0000"/>
          <w:sz w:val="22"/>
          <w:szCs w:val="22"/>
        </w:rPr>
        <w:t>Committee</w:t>
      </w:r>
      <w:proofErr w:type="spellEnd"/>
      <w:r w:rsidRPr="007B54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FF0000"/>
          <w:sz w:val="22"/>
          <w:szCs w:val="22"/>
        </w:rPr>
        <w:t>for</w:t>
      </w:r>
      <w:proofErr w:type="spellEnd"/>
      <w:r w:rsidRPr="007B54D7">
        <w:rPr>
          <w:rFonts w:ascii="Arial" w:hAnsi="Arial" w:cs="Arial"/>
          <w:color w:val="FF0000"/>
          <w:sz w:val="22"/>
          <w:szCs w:val="22"/>
        </w:rPr>
        <w:t xml:space="preserve"> Human </w:t>
      </w:r>
      <w:proofErr w:type="spellStart"/>
      <w:r w:rsidRPr="007B54D7">
        <w:rPr>
          <w:rFonts w:ascii="Arial" w:hAnsi="Arial" w:cs="Arial"/>
          <w:color w:val="FF0000"/>
          <w:sz w:val="22"/>
          <w:szCs w:val="22"/>
        </w:rPr>
        <w:t>Rights</w:t>
      </w:r>
      <w:proofErr w:type="spellEnd"/>
      <w:r w:rsidRPr="007B54D7">
        <w:rPr>
          <w:rFonts w:ascii="Arial" w:hAnsi="Arial" w:cs="Arial"/>
          <w:color w:val="FF0000"/>
          <w:sz w:val="22"/>
          <w:szCs w:val="22"/>
        </w:rPr>
        <w:t xml:space="preserve"> (</w:t>
      </w:r>
      <w:hyperlink r:id="rId20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CDDH</w:t>
        </w:r>
      </w:hyperlink>
      <w:r w:rsidRPr="007B54D7">
        <w:rPr>
          <w:rFonts w:ascii="Arial" w:hAnsi="Arial" w:cs="Arial"/>
          <w:color w:val="FF0000"/>
          <w:sz w:val="22"/>
          <w:szCs w:val="22"/>
        </w:rPr>
        <w:t>)</w:t>
      </w:r>
    </w:p>
    <w:p w:rsidR="007B54D7" w:rsidRPr="007B54D7" w:rsidRDefault="007B54D7" w:rsidP="007B54D7">
      <w:pPr>
        <w:rPr>
          <w:rFonts w:ascii="Times" w:eastAsia="Times New Roman" w:hAnsi="Times" w:cs="Times New Roman"/>
          <w:sz w:val="20"/>
          <w:szCs w:val="20"/>
        </w:rPr>
      </w:pPr>
      <w:r w:rsidRPr="007B54D7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noshade="t" o:hr="t" fillcolor="black" stroked="f"/>
        </w:pic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signatory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hereto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>,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resolved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take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further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steps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ensure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collective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enforcement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certain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rights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freedoms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means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Protection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Human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Rights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Fundamental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Freedoms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signed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at Rome on 4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November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1950 (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hereinafter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referred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as "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>"),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agreed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follows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>: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1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Procedural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safeguards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relating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expulsion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aliens</w:t>
      </w:r>
      <w:proofErr w:type="spellEnd"/>
    </w:p>
    <w:p w:rsidR="007B54D7" w:rsidRPr="007B54D7" w:rsidRDefault="007B54D7" w:rsidP="007B54D7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An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alien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lawfully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resident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not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expelled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therefrom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except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pursuance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decision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reached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law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allowed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7B54D7" w:rsidRPr="007B54D7" w:rsidRDefault="007B54D7" w:rsidP="007B54D7">
      <w:pPr>
        <w:numPr>
          <w:ilvl w:val="1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submit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reasons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against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his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expulsion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7B54D7" w:rsidRPr="007B54D7" w:rsidRDefault="007B54D7" w:rsidP="007B54D7">
      <w:pPr>
        <w:numPr>
          <w:ilvl w:val="1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his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case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reviewed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</w:p>
    <w:p w:rsidR="007B54D7" w:rsidRPr="007B54D7" w:rsidRDefault="007B54D7" w:rsidP="007B54D7">
      <w:pPr>
        <w:numPr>
          <w:ilvl w:val="1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represented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these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purposes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before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competent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authority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person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persons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designated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authority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7B54D7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An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alien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expelled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before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exercise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his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rights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under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paragraph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1.a, b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c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when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expulsion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necessary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interests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public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order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grounded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reasons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national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security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2 – Right of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appeal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criminal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matters</w:t>
      </w:r>
      <w:proofErr w:type="spellEnd"/>
    </w:p>
    <w:p w:rsidR="007B54D7" w:rsidRPr="007B54D7" w:rsidRDefault="007B54D7" w:rsidP="007B54D7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Everyone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convicted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criminal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offence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tribunal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right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his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conviction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sentence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reviewed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higher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tribunal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exercise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right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including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grounds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exercised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governed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law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right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subject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exceptions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regard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offences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minor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character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as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prescribed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law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cases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person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concerned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was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tried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instance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highest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tribunal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was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convicted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appeal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against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acquittal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3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Compensation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for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wrongful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conviction</w:t>
      </w:r>
      <w:proofErr w:type="spellEnd"/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When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person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has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 final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decision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convicted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criminal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offence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when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subsequently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his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conviction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has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reversed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he has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pardoned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on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ground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newly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discovered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fact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shows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conclusively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has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miscarriage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justice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person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who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has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suffered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punishment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as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result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conviction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compensated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according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law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practice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concerned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unless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it is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proved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non-disclosure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unknown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fact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in time is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wholly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partly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attributable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him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4 – Right not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tried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punished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twice</w:t>
      </w:r>
      <w:proofErr w:type="spellEnd"/>
    </w:p>
    <w:p w:rsidR="007B54D7" w:rsidRPr="007B54D7" w:rsidRDefault="007B54D7" w:rsidP="007B54D7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No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one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liable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tried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punished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again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criminal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proceedings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under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jurisdiction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same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offence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he has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already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finally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acquitted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convicted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law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procedure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provisions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preceding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paragraph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not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prevent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reopening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case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law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penal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procedure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concerned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if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evidence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new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newly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discovered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facts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if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has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fundamental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defect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previous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proceedings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could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affect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outcome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case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No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derogation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from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made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under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15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5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Equality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between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spouses</w:t>
      </w:r>
      <w:proofErr w:type="spellEnd"/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Spouses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enjoy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equality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rights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responsibilities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private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law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character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between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them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relations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children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marriage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marriage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event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dissolution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not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prevent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from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taking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measures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necessary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interests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children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6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Territorial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application</w:t>
      </w:r>
      <w:proofErr w:type="spellEnd"/>
    </w:p>
    <w:p w:rsidR="007B54D7" w:rsidRPr="007B54D7" w:rsidRDefault="007B54D7" w:rsidP="007B54D7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time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when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depositing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its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instrument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specify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territories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apply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extent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undertakes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provisions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apply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territories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later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addressed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Secretary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General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Europe,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extend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application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other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specified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respect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enter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expiration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period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two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after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receipt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Secretary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General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made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under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two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preceding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paragraphs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respect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specified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withdrawn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modified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notification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addressed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Secretary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General.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withdrawal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modification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become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effective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expiration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period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two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after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receipt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notification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Secretary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General.</w:t>
      </w:r>
    </w:p>
    <w:p w:rsidR="007B54D7" w:rsidRPr="007B54D7" w:rsidRDefault="007B54D7" w:rsidP="007B54D7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hyperlink r:id="rId21" w:anchor="FN1" w:tooltip="Text amended according to the provisions of Protocol No. 11 (ETS No. 155)." w:history="1">
        <w:r w:rsidRPr="007B54D7">
          <w:rPr>
            <w:rFonts w:ascii="Arial" w:eastAsia="Times New Roman" w:hAnsi="Arial" w:cs="Arial"/>
            <w:color w:val="0066CC"/>
            <w:sz w:val="22"/>
            <w:szCs w:val="22"/>
            <w:u w:val="single"/>
            <w:vertAlign w:val="superscript"/>
          </w:rPr>
          <w:t>(1)</w:t>
        </w:r>
      </w:hyperlink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 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made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deemed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been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made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paragraph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1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56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applies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virtue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each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is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applied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virtue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under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treated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separate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territories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purpose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reference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1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hyperlink r:id="rId22" w:anchor="FN2" w:tooltip="Text added according to the provisions of Protocol No. 11 (ETS No. 155)." w:history="1">
        <w:r w:rsidRPr="007B54D7">
          <w:rPr>
            <w:rFonts w:ascii="Arial" w:eastAsia="Times New Roman" w:hAnsi="Arial" w:cs="Arial"/>
            <w:color w:val="0066CC"/>
            <w:sz w:val="22"/>
            <w:szCs w:val="22"/>
            <w:u w:val="single"/>
            <w:vertAlign w:val="superscript"/>
          </w:rPr>
          <w:t>(2)</w:t>
        </w:r>
      </w:hyperlink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has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made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paragraph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1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2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time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thereafter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behalf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one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territories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relates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that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accepts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competence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Court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receive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applications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from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individuals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non-governmental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organisations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groups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individuals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as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provided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34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respect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1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5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7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Relationship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hyperlink r:id="rId23" w:anchor="FN1" w:tooltip="Text amended according to the provisions of Protocol No. 11 (ETS No. 155)." w:history="1">
        <w:r w:rsidRPr="007B54D7">
          <w:rPr>
            <w:rFonts w:ascii="Arial" w:hAnsi="Arial" w:cs="Arial"/>
            <w:b/>
            <w:bCs/>
            <w:color w:val="0066CC"/>
            <w:sz w:val="22"/>
            <w:szCs w:val="22"/>
            <w:u w:val="single"/>
            <w:vertAlign w:val="superscript"/>
          </w:rPr>
          <w:t>(1)</w:t>
        </w:r>
      </w:hyperlink>
    </w:p>
    <w:p w:rsidR="007B54D7" w:rsidRPr="007B54D7" w:rsidRDefault="007B54D7" w:rsidP="007B54D7">
      <w:pPr>
        <w:spacing w:before="100" w:beforeAutospacing="1" w:after="100" w:afterAutospacing="1"/>
        <w:ind w:left="720"/>
        <w:jc w:val="right"/>
        <w:rPr>
          <w:rFonts w:ascii="Arial" w:hAnsi="Arial" w:cs="Arial"/>
          <w:color w:val="000000"/>
          <w:sz w:val="22"/>
          <w:szCs w:val="22"/>
        </w:rPr>
      </w:pPr>
      <w:hyperlink r:id="rId24" w:history="1"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Chart of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Declarations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under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former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paragraph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2 of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this</w:t>
        </w:r>
        <w:proofErr w:type="spellEnd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 xml:space="preserve"> </w:t>
        </w:r>
        <w:proofErr w:type="spellStart"/>
        <w:r w:rsidRPr="007B54D7">
          <w:rPr>
            <w:rFonts w:ascii="Arial" w:hAnsi="Arial" w:cs="Arial"/>
            <w:color w:val="0066CC"/>
            <w:sz w:val="22"/>
            <w:szCs w:val="22"/>
            <w:u w:val="single"/>
          </w:rPr>
          <w:t>article</w:t>
        </w:r>
        <w:proofErr w:type="spellEnd"/>
      </w:hyperlink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r w:rsidRPr="007B54D7">
        <w:rPr>
          <w:rFonts w:ascii="Arial" w:hAnsi="Arial" w:cs="Arial"/>
          <w:color w:val="000000"/>
          <w:sz w:val="22"/>
          <w:szCs w:val="22"/>
        </w:rPr>
        <w:t xml:space="preserve">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between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Parties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provisions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Articles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1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6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regarded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additional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Articles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provisions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apply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accordingly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8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Signature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ratification</w:t>
      </w:r>
      <w:proofErr w:type="spellEnd"/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open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signature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signed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subject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ratification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acceptance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approval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.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not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ratify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accept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approve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without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previously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simultaneously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ratifying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Convention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. Instruments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ratification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acceptance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approval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deposited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Secretary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General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9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Entry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into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force</w:t>
      </w:r>
      <w:proofErr w:type="spellEnd"/>
    </w:p>
    <w:p w:rsidR="007B54D7" w:rsidRPr="007B54D7" w:rsidRDefault="007B54D7" w:rsidP="007B54D7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enter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expiration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period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two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after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seven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member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Europe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expressed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their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consent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bound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provisions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8.</w:t>
      </w:r>
    </w:p>
    <w:p w:rsidR="007B54D7" w:rsidRPr="007B54D7" w:rsidRDefault="007B54D7" w:rsidP="007B54D7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respect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member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subsequently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expresses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its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consent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bound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by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it,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enter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first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following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expiration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a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period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two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months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after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deposit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instrument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Article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10 –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Depositary</w:t>
      </w:r>
      <w:proofErr w:type="spellEnd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b/>
          <w:bCs/>
          <w:color w:val="000000"/>
          <w:sz w:val="22"/>
          <w:szCs w:val="22"/>
        </w:rPr>
        <w:t>functions</w:t>
      </w:r>
      <w:proofErr w:type="spellEnd"/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Secretary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General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notify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 of:</w:t>
      </w:r>
    </w:p>
    <w:p w:rsidR="007B54D7" w:rsidRPr="007B54D7" w:rsidRDefault="007B54D7" w:rsidP="007B54D7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signature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7B54D7" w:rsidRPr="007B54D7" w:rsidRDefault="007B54D7" w:rsidP="007B54D7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deposit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instrument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ratification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acceptance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approval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7B54D7" w:rsidRPr="007B54D7" w:rsidRDefault="007B54D7" w:rsidP="007B54D7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date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entry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into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force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 in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accordance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Articles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6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9;</w:t>
      </w:r>
    </w:p>
    <w:p w:rsidR="007B54D7" w:rsidRPr="007B54D7" w:rsidRDefault="007B54D7" w:rsidP="007B54D7">
      <w:pPr>
        <w:numPr>
          <w:ilvl w:val="0"/>
          <w:numId w:val="6"/>
        </w:numPr>
        <w:spacing w:before="100" w:beforeAutospacing="1" w:after="100" w:afterAutospacing="1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other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act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notification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declaration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relating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eastAsia="Times New Roman" w:hAnsi="Arial" w:cs="Arial"/>
          <w:color w:val="000000"/>
          <w:sz w:val="22"/>
          <w:szCs w:val="22"/>
        </w:rPr>
        <w:t xml:space="preserve"> Protocol.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In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witness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whereof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undersigned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duly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authorised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thereto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signed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Protocol.</w:t>
      </w:r>
      <w:bookmarkStart w:id="0" w:name="_GoBack"/>
      <w:bookmarkEnd w:id="0"/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r w:rsidRPr="007B54D7">
        <w:rPr>
          <w:rFonts w:ascii="Arial" w:hAnsi="Arial" w:cs="Arial"/>
          <w:color w:val="000000"/>
          <w:sz w:val="22"/>
          <w:szCs w:val="22"/>
        </w:rPr>
        <w:t xml:space="preserve">Done at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Strasbourg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22nd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day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November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1984, in English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and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French,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both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texts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being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equally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authentic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, in a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single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copy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deposited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archives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Europe.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Secretary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General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shall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transmit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certified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copies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each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State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 w:rsidRPr="007B54D7">
        <w:rPr>
          <w:rFonts w:ascii="Arial" w:hAnsi="Arial" w:cs="Arial"/>
          <w:color w:val="000000"/>
          <w:sz w:val="22"/>
          <w:szCs w:val="22"/>
        </w:rPr>
        <w:t xml:space="preserve"> of Europe.</w:t>
      </w:r>
    </w:p>
    <w:p w:rsidR="007B54D7" w:rsidRPr="007B54D7" w:rsidRDefault="007B54D7" w:rsidP="007B54D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B54D7">
        <w:rPr>
          <w:rFonts w:ascii="Arial" w:eastAsia="Times New Roman" w:hAnsi="Arial" w:cs="Arial"/>
          <w:color w:val="000000"/>
          <w:sz w:val="22"/>
          <w:szCs w:val="22"/>
        </w:rPr>
        <w:pict>
          <v:rect id="_x0000_i1027" style="width:0;height:1.5pt" o:hralign="center" o:hrstd="t" o:hr="t" fillcolor="#aaa" stroked="f"/>
        </w:pict>
      </w:r>
    </w:p>
    <w:p w:rsidR="007B54D7" w:rsidRPr="007B54D7" w:rsidRDefault="007B54D7" w:rsidP="007B54D7">
      <w:pPr>
        <w:spacing w:before="100" w:beforeAutospacing="1" w:after="100" w:afterAutospacing="1"/>
        <w:ind w:left="720"/>
        <w:outlineLvl w:val="4"/>
        <w:rPr>
          <w:rFonts w:ascii="Arial" w:eastAsia="Times New Roman" w:hAnsi="Arial" w:cs="Arial"/>
          <w:b/>
          <w:bCs/>
          <w:color w:val="405877"/>
          <w:sz w:val="20"/>
          <w:szCs w:val="20"/>
        </w:rPr>
      </w:pPr>
      <w:proofErr w:type="spellStart"/>
      <w:r w:rsidRPr="007B54D7">
        <w:rPr>
          <w:rFonts w:ascii="Arial" w:eastAsia="Times New Roman" w:hAnsi="Arial" w:cs="Arial"/>
          <w:b/>
          <w:bCs/>
          <w:color w:val="405877"/>
          <w:sz w:val="20"/>
          <w:szCs w:val="20"/>
        </w:rPr>
        <w:t>Notes</w:t>
      </w:r>
      <w:proofErr w:type="spellEnd"/>
      <w:r w:rsidRPr="007B54D7">
        <w:rPr>
          <w:rFonts w:ascii="Arial" w:eastAsia="Times New Roman" w:hAnsi="Arial" w:cs="Arial"/>
          <w:b/>
          <w:bCs/>
          <w:color w:val="405877"/>
          <w:sz w:val="20"/>
          <w:szCs w:val="20"/>
        </w:rPr>
        <w:t xml:space="preserve"> :</w:t>
      </w:r>
    </w:p>
    <w:p w:rsidR="007B54D7" w:rsidRPr="007B54D7" w:rsidRDefault="007B54D7" w:rsidP="007B54D7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2"/>
          <w:szCs w:val="22"/>
        </w:rPr>
      </w:pPr>
      <w:bookmarkStart w:id="1" w:name="FN1"/>
      <w:bookmarkEnd w:id="1"/>
      <w:r w:rsidRPr="007B54D7">
        <w:rPr>
          <w:rFonts w:ascii="Arial" w:hAnsi="Arial" w:cs="Arial"/>
          <w:color w:val="000000"/>
          <w:sz w:val="15"/>
          <w:szCs w:val="15"/>
        </w:rPr>
        <w:t>(1)  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Text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amended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according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to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the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provisions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of Protocol No. 11 (ETS No. 155).</w:t>
      </w:r>
      <w:r w:rsidRPr="007B54D7">
        <w:rPr>
          <w:rFonts w:ascii="Arial" w:hAnsi="Arial" w:cs="Arial"/>
          <w:color w:val="000000"/>
          <w:sz w:val="15"/>
          <w:szCs w:val="15"/>
        </w:rPr>
        <w:br/>
      </w:r>
      <w:bookmarkStart w:id="2" w:name="FN2"/>
      <w:bookmarkEnd w:id="2"/>
      <w:r w:rsidRPr="007B54D7">
        <w:rPr>
          <w:rFonts w:ascii="Arial" w:hAnsi="Arial" w:cs="Arial"/>
          <w:color w:val="000000"/>
          <w:sz w:val="15"/>
          <w:szCs w:val="15"/>
        </w:rPr>
        <w:t>(2)  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Text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added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according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to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the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7B54D7">
        <w:rPr>
          <w:rFonts w:ascii="Arial" w:hAnsi="Arial" w:cs="Arial"/>
          <w:color w:val="000000"/>
          <w:sz w:val="15"/>
          <w:szCs w:val="15"/>
        </w:rPr>
        <w:t>provisions</w:t>
      </w:r>
      <w:proofErr w:type="spellEnd"/>
      <w:r w:rsidRPr="007B54D7">
        <w:rPr>
          <w:rFonts w:ascii="Arial" w:hAnsi="Arial" w:cs="Arial"/>
          <w:color w:val="000000"/>
          <w:sz w:val="15"/>
          <w:szCs w:val="15"/>
        </w:rPr>
        <w:t xml:space="preserve"> of Protocol No. 11 (ETS No. 155).</w:t>
      </w:r>
    </w:p>
    <w:p w:rsidR="00CA168A" w:rsidRDefault="00CA168A"/>
    <w:sectPr w:rsidR="00CA168A" w:rsidSect="00834A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04"/>
    <w:multiLevelType w:val="multilevel"/>
    <w:tmpl w:val="2ED86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950"/>
    <w:multiLevelType w:val="multilevel"/>
    <w:tmpl w:val="72BC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74214"/>
    <w:multiLevelType w:val="multilevel"/>
    <w:tmpl w:val="63FA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C5BB3"/>
    <w:multiLevelType w:val="multilevel"/>
    <w:tmpl w:val="5CF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C0FE3"/>
    <w:multiLevelType w:val="multilevel"/>
    <w:tmpl w:val="6B8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03A41"/>
    <w:multiLevelType w:val="multilevel"/>
    <w:tmpl w:val="25FE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D7"/>
    <w:rsid w:val="007B54D7"/>
    <w:rsid w:val="00834A2D"/>
    <w:rsid w:val="00C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75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7B54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54D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B54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4D7"/>
    <w:rPr>
      <w:rFonts w:ascii="Times" w:hAnsi="Times"/>
      <w:b/>
      <w:bCs/>
      <w:sz w:val="36"/>
      <w:szCs w:val="3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7B54D7"/>
    <w:rPr>
      <w:rFonts w:ascii="Times" w:hAnsi="Times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7B54D7"/>
    <w:rPr>
      <w:rFonts w:ascii="Times" w:hAnsi="Times"/>
      <w:b/>
      <w:bCs/>
      <w:sz w:val="20"/>
      <w:szCs w:val="20"/>
      <w:lang w:val="tr-TR"/>
    </w:rPr>
  </w:style>
  <w:style w:type="paragraph" w:styleId="NormalWeb">
    <w:name w:val="Normal (Web)"/>
    <w:basedOn w:val="Normal"/>
    <w:uiPriority w:val="99"/>
    <w:semiHidden/>
    <w:unhideWhenUsed/>
    <w:rsid w:val="007B54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4D7"/>
    <w:rPr>
      <w:color w:val="0000FF"/>
      <w:u w:val="single"/>
    </w:rPr>
  </w:style>
  <w:style w:type="paragraph" w:customStyle="1" w:styleId="bttitreb">
    <w:name w:val="bttitreb"/>
    <w:basedOn w:val="Normal"/>
    <w:rsid w:val="007B5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54D7"/>
  </w:style>
  <w:style w:type="paragraph" w:styleId="BalloonText">
    <w:name w:val="Balloon Text"/>
    <w:basedOn w:val="Normal"/>
    <w:link w:val="BalloonTextChar"/>
    <w:uiPriority w:val="99"/>
    <w:semiHidden/>
    <w:unhideWhenUsed/>
    <w:rsid w:val="007B5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D7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2">
    <w:name w:val="heading 2"/>
    <w:basedOn w:val="Normal"/>
    <w:link w:val="Heading2Char"/>
    <w:uiPriority w:val="9"/>
    <w:qFormat/>
    <w:rsid w:val="007B54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54D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B54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4D7"/>
    <w:rPr>
      <w:rFonts w:ascii="Times" w:hAnsi="Times"/>
      <w:b/>
      <w:bCs/>
      <w:sz w:val="36"/>
      <w:szCs w:val="3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7B54D7"/>
    <w:rPr>
      <w:rFonts w:ascii="Times" w:hAnsi="Times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7B54D7"/>
    <w:rPr>
      <w:rFonts w:ascii="Times" w:hAnsi="Times"/>
      <w:b/>
      <w:bCs/>
      <w:sz w:val="20"/>
      <w:szCs w:val="20"/>
      <w:lang w:val="tr-TR"/>
    </w:rPr>
  </w:style>
  <w:style w:type="paragraph" w:styleId="NormalWeb">
    <w:name w:val="Normal (Web)"/>
    <w:basedOn w:val="Normal"/>
    <w:uiPriority w:val="99"/>
    <w:semiHidden/>
    <w:unhideWhenUsed/>
    <w:rsid w:val="007B54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4D7"/>
    <w:rPr>
      <w:color w:val="0000FF"/>
      <w:u w:val="single"/>
    </w:rPr>
  </w:style>
  <w:style w:type="paragraph" w:customStyle="1" w:styleId="bttitreb">
    <w:name w:val="bttitreb"/>
    <w:basedOn w:val="Normal"/>
    <w:rsid w:val="007B54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54D7"/>
  </w:style>
  <w:style w:type="paragraph" w:styleId="BalloonText">
    <w:name w:val="Balloon Text"/>
    <w:basedOn w:val="Normal"/>
    <w:link w:val="BalloonTextChar"/>
    <w:uiPriority w:val="99"/>
    <w:semiHidden/>
    <w:unhideWhenUsed/>
    <w:rsid w:val="007B5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D7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nventions.coe.int/treaty/en/Treaties/Html/046.htm" TargetMode="External"/><Relationship Id="rId20" Type="http://schemas.openxmlformats.org/officeDocument/2006/relationships/hyperlink" Target="http://www.coe.int/t/dghl/standardsetting/cddh/default_EN.asp?" TargetMode="External"/><Relationship Id="rId21" Type="http://schemas.openxmlformats.org/officeDocument/2006/relationships/hyperlink" Target="http://www.conventions.coe.int/treaty/en/Treaties/Html/117.htm" TargetMode="External"/><Relationship Id="rId22" Type="http://schemas.openxmlformats.org/officeDocument/2006/relationships/hyperlink" Target="http://www.conventions.coe.int/treaty/en/Treaties/Html/117.htm" TargetMode="External"/><Relationship Id="rId23" Type="http://schemas.openxmlformats.org/officeDocument/2006/relationships/hyperlink" Target="http://www.conventions.coe.int/treaty/en/Treaties/Html/117.htm" TargetMode="External"/><Relationship Id="rId24" Type="http://schemas.openxmlformats.org/officeDocument/2006/relationships/hyperlink" Target="http://www.conventions.coe.int/treaty/en/Treaties/Html/117-1-bis.ht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conventions.coe.int/treaty/en/Treaties/Html/114.htm" TargetMode="External"/><Relationship Id="rId11" Type="http://schemas.openxmlformats.org/officeDocument/2006/relationships/hyperlink" Target="http://www.conventions.coe.int/treaty/en/Treaties/Html/177.htm" TargetMode="External"/><Relationship Id="rId12" Type="http://schemas.openxmlformats.org/officeDocument/2006/relationships/hyperlink" Target="http://www.conventions.coe.int/treaty/en/Treaties/Html/187.htm" TargetMode="External"/><Relationship Id="rId13" Type="http://schemas.openxmlformats.org/officeDocument/2006/relationships/hyperlink" Target="http://www.conventions.coe.int/treaty/en/Treaties/Html/213.htm" TargetMode="External"/><Relationship Id="rId14" Type="http://schemas.openxmlformats.org/officeDocument/2006/relationships/hyperlink" Target="http://www.conventions.coe.int/treaty/en/Treaties/Html/214.htm" TargetMode="External"/><Relationship Id="rId15" Type="http://schemas.openxmlformats.org/officeDocument/2006/relationships/hyperlink" Target="http://www.conventions.coe.int/treaty/en/Treaties/Html/117-1-bis.htm" TargetMode="External"/><Relationship Id="rId16" Type="http://schemas.openxmlformats.org/officeDocument/2006/relationships/hyperlink" Target="http://www.conventions.coe.int/Treaty/EN/Reports/HTML/117.htm" TargetMode="External"/><Relationship Id="rId17" Type="http://schemas.openxmlformats.org/officeDocument/2006/relationships/hyperlink" Target="http://www.conventions.coe.int/Treaty/FR/Treaties/Html/117.htm" TargetMode="External"/><Relationship Id="rId18" Type="http://schemas.openxmlformats.org/officeDocument/2006/relationships/hyperlink" Target="http://www.conventions.coe.int/Default.asp?pg=Treaty/Translations/TranslationsChart_en.htm" TargetMode="External"/><Relationship Id="rId19" Type="http://schemas.openxmlformats.org/officeDocument/2006/relationships/hyperlink" Target="http://www.echr.coe.int/echr/Homepage_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conventions.coe.int/treaty/en/Treaties/Html/005.htm" TargetMode="External"/><Relationship Id="rId8" Type="http://schemas.openxmlformats.org/officeDocument/2006/relationships/hyperlink" Target="http://www.conventions.coe.int/treaty/en/Treaties/Html/00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1618</Words>
  <Characters>8416</Characters>
  <Application>Microsoft Macintosh Word</Application>
  <DocSecurity>0</DocSecurity>
  <Lines>161</Lines>
  <Paragraphs>74</Paragraphs>
  <ScaleCrop>false</ScaleCrop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Gökçeçiçek Ayata</dc:creator>
  <cp:keywords/>
  <dc:description/>
  <cp:lastModifiedBy>Gökçeçiçek Ayata</cp:lastModifiedBy>
  <cp:revision>1</cp:revision>
  <dcterms:created xsi:type="dcterms:W3CDTF">2015-07-25T21:40:00Z</dcterms:created>
  <dcterms:modified xsi:type="dcterms:W3CDTF">2015-07-25T21:42:00Z</dcterms:modified>
</cp:coreProperties>
</file>