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85" w:rsidRPr="00DA7B85" w:rsidRDefault="00DA7B85" w:rsidP="00DA7B85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1273810" cy="914400"/>
            <wp:effectExtent l="0" t="0" r="0" b="0"/>
            <wp:docPr id="1" name="Picture 1" descr="ouncil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ncilEur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85" w:rsidRPr="00DA7B85" w:rsidRDefault="00DA7B85" w:rsidP="00DA7B85">
      <w:pPr>
        <w:spacing w:before="100" w:beforeAutospacing="1" w:after="100" w:afterAutospacing="1"/>
        <w:ind w:left="720"/>
        <w:outlineLvl w:val="1"/>
        <w:rPr>
          <w:rFonts w:ascii="Arial" w:eastAsia="Times New Roman" w:hAnsi="Arial" w:cs="Arial"/>
          <w:b/>
          <w:bCs/>
          <w:color w:val="405877"/>
          <w:sz w:val="37"/>
          <w:szCs w:val="37"/>
        </w:rPr>
      </w:pP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Protocole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No. 9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to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the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Convention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for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the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Protection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of Human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Rights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and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Fundamental</w:t>
      </w:r>
      <w:proofErr w:type="spellEnd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405877"/>
          <w:sz w:val="37"/>
          <w:szCs w:val="37"/>
        </w:rPr>
        <w:t>Freedoms</w:t>
      </w:r>
      <w:proofErr w:type="spellEnd"/>
    </w:p>
    <w:p w:rsidR="00DA7B85" w:rsidRPr="00DA7B85" w:rsidRDefault="00DA7B85" w:rsidP="00DA7B85">
      <w:pPr>
        <w:spacing w:before="100" w:beforeAutospacing="1" w:after="100" w:afterAutospacing="1"/>
        <w:ind w:left="720"/>
        <w:outlineLvl w:val="2"/>
        <w:rPr>
          <w:rFonts w:ascii="Arial" w:eastAsia="Times New Roman" w:hAnsi="Arial" w:cs="Arial"/>
          <w:color w:val="333333"/>
          <w:sz w:val="22"/>
          <w:szCs w:val="22"/>
        </w:rPr>
      </w:pPr>
      <w:r w:rsidRPr="00DA7B85">
        <w:rPr>
          <w:rFonts w:ascii="Arial" w:eastAsia="Times New Roman" w:hAnsi="Arial" w:cs="Arial"/>
          <w:color w:val="333333"/>
          <w:sz w:val="22"/>
          <w:szCs w:val="22"/>
        </w:rPr>
        <w:t>Rome, 6.XI.1990</w:t>
      </w:r>
    </w:p>
    <w:p w:rsidR="00DA7B85" w:rsidRPr="00DA7B85" w:rsidRDefault="00DA7B85" w:rsidP="00DA7B85">
      <w:pPr>
        <w:spacing w:before="100" w:beforeAutospacing="1" w:after="100" w:afterAutospacing="1"/>
        <w:ind w:left="720"/>
        <w:outlineLvl w:val="4"/>
        <w:rPr>
          <w:rFonts w:ascii="Arial" w:eastAsia="Times New Roman" w:hAnsi="Arial" w:cs="Arial"/>
          <w:b/>
          <w:bCs/>
          <w:color w:val="405877"/>
          <w:sz w:val="20"/>
          <w:szCs w:val="20"/>
        </w:rPr>
      </w:pP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This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Protocol has </w:t>
      </w: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been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repealed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as </w:t>
      </w: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from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the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date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of </w:t>
      </w: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entry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into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force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of Protocol No. 11 (ETS No. 155) on 1 </w:t>
      </w:r>
      <w:proofErr w:type="spellStart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>November</w:t>
      </w:r>
      <w:proofErr w:type="spellEnd"/>
      <w:r w:rsidRPr="00DA7B85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1998.</w:t>
      </w:r>
    </w:p>
    <w:p w:rsidR="00DA7B85" w:rsidRPr="00DA7B85" w:rsidRDefault="00DA7B85" w:rsidP="00DA7B85">
      <w:pPr>
        <w:spacing w:before="100" w:beforeAutospacing="1" w:after="100" w:afterAutospacing="1"/>
        <w:ind w:left="720"/>
        <w:jc w:val="right"/>
        <w:rPr>
          <w:rFonts w:ascii="Arial" w:hAnsi="Arial" w:cs="Arial"/>
          <w:color w:val="000000"/>
          <w:sz w:val="22"/>
          <w:szCs w:val="22"/>
        </w:rPr>
      </w:pPr>
      <w:hyperlink r:id="rId7" w:history="1"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Explanatory</w:t>
        </w:r>
        <w:proofErr w:type="spellEnd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Report</w:t>
        </w:r>
      </w:hyperlink>
      <w:r w:rsidRPr="00DA7B85">
        <w:rPr>
          <w:rFonts w:ascii="Arial" w:hAnsi="Arial" w:cs="Arial"/>
          <w:color w:val="000000"/>
          <w:sz w:val="22"/>
          <w:szCs w:val="22"/>
        </w:rPr>
        <w:br/>
      </w:r>
      <w:hyperlink r:id="rId8" w:history="1"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Français</w:t>
        </w:r>
        <w:proofErr w:type="spellEnd"/>
      </w:hyperlink>
    </w:p>
    <w:p w:rsidR="00DA7B85" w:rsidRPr="00DA7B85" w:rsidRDefault="00DA7B85" w:rsidP="00DA7B85">
      <w:pPr>
        <w:rPr>
          <w:rFonts w:ascii="Times" w:eastAsia="Times New Roman" w:hAnsi="Times" w:cs="Times New Roman"/>
          <w:sz w:val="20"/>
          <w:szCs w:val="20"/>
        </w:rPr>
      </w:pPr>
      <w:r w:rsidRPr="00DA7B85"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noshade="t" o:hr="t" fillcolor="black" stroked="f"/>
        </w:pic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Europe,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signatories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Protocol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 </w:t>
      </w:r>
      <w:hyperlink r:id="rId9" w:history="1"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Convention</w:t>
        </w:r>
        <w:proofErr w:type="spellEnd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for</w:t>
        </w:r>
        <w:proofErr w:type="spellEnd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the</w:t>
        </w:r>
        <w:proofErr w:type="spellEnd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Protection</w:t>
        </w:r>
        <w:proofErr w:type="spellEnd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of Human </w:t>
        </w:r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Rights</w:t>
        </w:r>
        <w:proofErr w:type="spellEnd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and</w:t>
        </w:r>
        <w:proofErr w:type="spellEnd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Fundamental</w:t>
        </w:r>
        <w:proofErr w:type="spellEnd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DA7B85">
          <w:rPr>
            <w:rFonts w:ascii="Arial" w:hAnsi="Arial" w:cs="Arial"/>
            <w:color w:val="0066CC"/>
            <w:sz w:val="22"/>
            <w:szCs w:val="22"/>
            <w:u w:val="single"/>
          </w:rPr>
          <w:t>Freedoms</w:t>
        </w:r>
        <w:proofErr w:type="spellEnd"/>
      </w:hyperlink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signed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at Rome on 4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November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1950 (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hereinafter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referred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as "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"),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Being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resolved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make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further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improvements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procedure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under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,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agreed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follows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: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Parties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bound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Protocol,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amended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provided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Articles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2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5.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31,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paragraph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2,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read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follows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:</w:t>
      </w:r>
      <w:r w:rsidRPr="00DA7B85">
        <w:rPr>
          <w:rFonts w:ascii="Arial" w:hAnsi="Arial" w:cs="Arial"/>
          <w:color w:val="000000"/>
          <w:sz w:val="22"/>
          <w:szCs w:val="22"/>
        </w:rPr>
        <w:br/>
        <w:t xml:space="preserve">"2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Report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transmitted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Committee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Ministers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Report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also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transmitted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concerned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it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deals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petition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submitted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under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25,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applicant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concerned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applicant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not be at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liberty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publish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it."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 xml:space="preserve"> 3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44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read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follows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:</w:t>
      </w:r>
      <w:r w:rsidRPr="00DA7B85">
        <w:rPr>
          <w:rFonts w:ascii="Arial" w:hAnsi="Arial" w:cs="Arial"/>
          <w:color w:val="000000"/>
          <w:sz w:val="22"/>
          <w:szCs w:val="22"/>
        </w:rPr>
        <w:br/>
        <w:t>"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Only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High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Parties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Commission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persons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non-governmental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organisations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groups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individuals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having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submitted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petition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under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25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right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bring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case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before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Court."</w:t>
      </w:r>
    </w:p>
    <w:p w:rsid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Article</w:t>
      </w:r>
      <w:proofErr w:type="spellEnd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 xml:space="preserve"> 4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45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read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follows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:</w:t>
      </w:r>
      <w:r w:rsidRPr="00DA7B85">
        <w:rPr>
          <w:rFonts w:ascii="Arial" w:hAnsi="Arial" w:cs="Arial"/>
          <w:color w:val="000000"/>
          <w:sz w:val="22"/>
          <w:szCs w:val="22"/>
        </w:rPr>
        <w:br/>
        <w:t>"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jurisdiction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Court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extend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cases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concerning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interpretation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application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present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referred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it in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accordance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48."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 xml:space="preserve"> 5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48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read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follows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:</w:t>
      </w:r>
      <w:r w:rsidRPr="00DA7B85">
        <w:rPr>
          <w:rFonts w:ascii="Arial" w:hAnsi="Arial" w:cs="Arial"/>
          <w:color w:val="000000"/>
          <w:sz w:val="22"/>
          <w:szCs w:val="22"/>
        </w:rPr>
        <w:br/>
        <w:t xml:space="preserve">"1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following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refer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case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Court,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provided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High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Party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concerned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only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High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Parties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concerned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more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than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subject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compulsory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jurisdiction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Court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failing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consent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High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Party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concerned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only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High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Parties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concerned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more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than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:</w:t>
      </w:r>
    </w:p>
    <w:p w:rsidR="00DA7B85" w:rsidRPr="00DA7B85" w:rsidRDefault="00DA7B85" w:rsidP="00DA7B8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Commission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DA7B85" w:rsidRPr="00DA7B85" w:rsidRDefault="00DA7B85" w:rsidP="00DA7B8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a High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Party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whose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national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alleged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be a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victim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DA7B85" w:rsidRPr="00DA7B85" w:rsidRDefault="00DA7B85" w:rsidP="00DA7B8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a High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Party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referred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case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Commission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DA7B85" w:rsidRPr="00DA7B85" w:rsidRDefault="00DA7B85" w:rsidP="00DA7B8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a High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Party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against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complaint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has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been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lodged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DA7B85" w:rsidRPr="00DA7B85" w:rsidRDefault="00DA7B85" w:rsidP="00DA7B8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person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non-governmental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organisation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group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individuals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having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lodged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complaint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Commission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A7B85" w:rsidRPr="00DA7B85" w:rsidRDefault="00DA7B85" w:rsidP="00DA7B85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If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case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referred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Court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only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paragraph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1.e, it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first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submitted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a panel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composed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three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members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Court.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There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sit as an </w:t>
      </w:r>
      <w:proofErr w:type="spellStart"/>
      <w:r w:rsidRPr="00DA7B85">
        <w:rPr>
          <w:rFonts w:ascii="Arial" w:eastAsia="Times New Roman" w:hAnsi="Arial" w:cs="Arial"/>
          <w:i/>
          <w:iCs/>
          <w:color w:val="000000"/>
          <w:sz w:val="22"/>
          <w:szCs w:val="22"/>
        </w:rPr>
        <w:t>ex</w:t>
      </w:r>
      <w:proofErr w:type="spellEnd"/>
      <w:r w:rsidRPr="00DA7B85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i/>
          <w:iCs/>
          <w:color w:val="000000"/>
          <w:sz w:val="22"/>
          <w:szCs w:val="22"/>
        </w:rPr>
        <w:t>officio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 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member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panel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judge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elected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respect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High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Party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against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complaint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has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been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lodged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if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there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none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a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person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its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choice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who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sit in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capacity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judge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If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complaint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has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been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lodged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against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more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than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one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High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Contracting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Party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size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panel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increased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accordingly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If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case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does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not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raise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serious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question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affecting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interpretation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application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does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not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any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other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reason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warrant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consideration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Court,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panel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unanimous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vote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decide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it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not be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considered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Court.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Committee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Ministers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decide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in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accordance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provisions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32,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whether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has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been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violation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>."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 xml:space="preserve"> 6</w:t>
      </w:r>
    </w:p>
    <w:p w:rsidR="00DA7B85" w:rsidRPr="00DA7B85" w:rsidRDefault="00DA7B85" w:rsidP="00DA7B85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open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member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States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Council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Europe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signatories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Convention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express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their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consent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bound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DA7B85" w:rsidRPr="00DA7B85" w:rsidRDefault="00DA7B85" w:rsidP="00DA7B85">
      <w:pPr>
        <w:numPr>
          <w:ilvl w:val="1"/>
          <w:numId w:val="2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without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reservation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as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</w:p>
    <w:p w:rsidR="00DA7B85" w:rsidRPr="00DA7B85" w:rsidRDefault="00DA7B85" w:rsidP="00DA7B85">
      <w:pPr>
        <w:numPr>
          <w:ilvl w:val="1"/>
          <w:numId w:val="2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subject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followed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A7B85" w:rsidRPr="00DA7B85" w:rsidRDefault="00DA7B85" w:rsidP="00DA7B85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instruments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deposited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Secretary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General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Council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Europe.</w:t>
      </w:r>
    </w:p>
    <w:p w:rsid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proofErr w:type="spellStart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 xml:space="preserve"> 7</w:t>
      </w:r>
    </w:p>
    <w:p w:rsidR="00DA7B85" w:rsidRPr="00DA7B85" w:rsidRDefault="00DA7B85" w:rsidP="00DA7B85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enter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into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force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first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day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month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following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expiration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period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three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months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after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ten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member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States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Council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Europe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have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expressed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their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consent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bound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Protocol in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provisions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6.</w:t>
      </w:r>
    </w:p>
    <w:p w:rsidR="00DA7B85" w:rsidRPr="00DA7B85" w:rsidRDefault="00DA7B85" w:rsidP="00DA7B85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respect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member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subsequently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expresses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its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consent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bound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it,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enter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into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force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first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day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month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following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expiration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period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three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months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after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deposit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instrument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hAnsi="Arial" w:cs="Arial"/>
          <w:b/>
          <w:bCs/>
          <w:color w:val="000000"/>
          <w:sz w:val="22"/>
          <w:szCs w:val="22"/>
        </w:rPr>
        <w:t xml:space="preserve"> 8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Secretary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General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Europe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notify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Europe of:</w:t>
      </w:r>
    </w:p>
    <w:p w:rsidR="00DA7B85" w:rsidRPr="00DA7B85" w:rsidRDefault="00DA7B85" w:rsidP="00DA7B85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DA7B85" w:rsidRPr="00DA7B85" w:rsidRDefault="00DA7B85" w:rsidP="00DA7B85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deposit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instrument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DA7B85" w:rsidRPr="00DA7B85" w:rsidRDefault="00DA7B85" w:rsidP="00DA7B85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entry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into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force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Protocol in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7;</w:t>
      </w:r>
    </w:p>
    <w:p w:rsidR="00DA7B85" w:rsidRPr="00DA7B85" w:rsidRDefault="00DA7B85" w:rsidP="00DA7B85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other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act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notification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relating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DA7B85">
        <w:rPr>
          <w:rFonts w:ascii="Arial" w:eastAsia="Times New Roman" w:hAnsi="Arial" w:cs="Arial"/>
          <w:color w:val="000000"/>
          <w:sz w:val="22"/>
          <w:szCs w:val="22"/>
        </w:rPr>
        <w:t xml:space="preserve"> Protocol.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In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witness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whereof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undersigned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being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duly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authorised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thereto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signed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Protocol.</w:t>
      </w:r>
    </w:p>
    <w:p w:rsidR="00DA7B85" w:rsidRPr="00DA7B85" w:rsidRDefault="00DA7B85" w:rsidP="00DA7B85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r w:rsidRPr="00DA7B85">
        <w:rPr>
          <w:rFonts w:ascii="Arial" w:hAnsi="Arial" w:cs="Arial"/>
          <w:color w:val="000000"/>
          <w:sz w:val="22"/>
          <w:szCs w:val="22"/>
        </w:rPr>
        <w:t xml:space="preserve">Done at Rome,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6th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day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November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1990, in English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French,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both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texts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being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equally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authentic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, in a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single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copy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deposited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archives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Europe.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Secretary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General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Europe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transmit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certified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copies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each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State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A7B85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DA7B85">
        <w:rPr>
          <w:rFonts w:ascii="Arial" w:hAnsi="Arial" w:cs="Arial"/>
          <w:color w:val="000000"/>
          <w:sz w:val="22"/>
          <w:szCs w:val="22"/>
        </w:rPr>
        <w:t xml:space="preserve"> of Europe.</w:t>
      </w:r>
    </w:p>
    <w:p w:rsidR="00CA168A" w:rsidRDefault="00CA168A"/>
    <w:sectPr w:rsidR="00CA168A" w:rsidSect="00834A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473"/>
    <w:multiLevelType w:val="multilevel"/>
    <w:tmpl w:val="BA5AB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6077B"/>
    <w:multiLevelType w:val="multilevel"/>
    <w:tmpl w:val="5082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C63E8"/>
    <w:multiLevelType w:val="multilevel"/>
    <w:tmpl w:val="313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61689"/>
    <w:multiLevelType w:val="multilevel"/>
    <w:tmpl w:val="6C0C9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834A2D"/>
    <w:rsid w:val="00CA168A"/>
    <w:rsid w:val="00D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75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2">
    <w:name w:val="heading 2"/>
    <w:basedOn w:val="Normal"/>
    <w:link w:val="Heading2Char"/>
    <w:uiPriority w:val="9"/>
    <w:qFormat/>
    <w:rsid w:val="00DA7B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7B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A7B85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7B85"/>
    <w:rPr>
      <w:rFonts w:ascii="Times" w:hAnsi="Times"/>
      <w:b/>
      <w:bCs/>
      <w:sz w:val="36"/>
      <w:szCs w:val="3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DA7B85"/>
    <w:rPr>
      <w:rFonts w:ascii="Times" w:hAnsi="Times"/>
      <w:b/>
      <w:bCs/>
      <w:sz w:val="27"/>
      <w:szCs w:val="27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DA7B85"/>
    <w:rPr>
      <w:rFonts w:ascii="Times" w:hAnsi="Times"/>
      <w:b/>
      <w:bCs/>
      <w:sz w:val="20"/>
      <w:szCs w:val="20"/>
      <w:lang w:val="tr-TR"/>
    </w:rPr>
  </w:style>
  <w:style w:type="paragraph" w:styleId="NormalWeb">
    <w:name w:val="Normal (Web)"/>
    <w:basedOn w:val="Normal"/>
    <w:uiPriority w:val="99"/>
    <w:semiHidden/>
    <w:unhideWhenUsed/>
    <w:rsid w:val="00DA7B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7B85"/>
    <w:rPr>
      <w:color w:val="0000FF"/>
      <w:u w:val="single"/>
    </w:rPr>
  </w:style>
  <w:style w:type="paragraph" w:customStyle="1" w:styleId="bttitreb">
    <w:name w:val="bttitreb"/>
    <w:basedOn w:val="Normal"/>
    <w:rsid w:val="00DA7B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A7B85"/>
  </w:style>
  <w:style w:type="paragraph" w:styleId="BalloonText">
    <w:name w:val="Balloon Text"/>
    <w:basedOn w:val="Normal"/>
    <w:link w:val="BalloonTextChar"/>
    <w:uiPriority w:val="99"/>
    <w:semiHidden/>
    <w:unhideWhenUsed/>
    <w:rsid w:val="00DA7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85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2">
    <w:name w:val="heading 2"/>
    <w:basedOn w:val="Normal"/>
    <w:link w:val="Heading2Char"/>
    <w:uiPriority w:val="9"/>
    <w:qFormat/>
    <w:rsid w:val="00DA7B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7B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A7B85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7B85"/>
    <w:rPr>
      <w:rFonts w:ascii="Times" w:hAnsi="Times"/>
      <w:b/>
      <w:bCs/>
      <w:sz w:val="36"/>
      <w:szCs w:val="3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DA7B85"/>
    <w:rPr>
      <w:rFonts w:ascii="Times" w:hAnsi="Times"/>
      <w:b/>
      <w:bCs/>
      <w:sz w:val="27"/>
      <w:szCs w:val="27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DA7B85"/>
    <w:rPr>
      <w:rFonts w:ascii="Times" w:hAnsi="Times"/>
      <w:b/>
      <w:bCs/>
      <w:sz w:val="20"/>
      <w:szCs w:val="20"/>
      <w:lang w:val="tr-TR"/>
    </w:rPr>
  </w:style>
  <w:style w:type="paragraph" w:styleId="NormalWeb">
    <w:name w:val="Normal (Web)"/>
    <w:basedOn w:val="Normal"/>
    <w:uiPriority w:val="99"/>
    <w:semiHidden/>
    <w:unhideWhenUsed/>
    <w:rsid w:val="00DA7B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7B85"/>
    <w:rPr>
      <w:color w:val="0000FF"/>
      <w:u w:val="single"/>
    </w:rPr>
  </w:style>
  <w:style w:type="paragraph" w:customStyle="1" w:styleId="bttitreb">
    <w:name w:val="bttitreb"/>
    <w:basedOn w:val="Normal"/>
    <w:rsid w:val="00DA7B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A7B85"/>
  </w:style>
  <w:style w:type="paragraph" w:styleId="BalloonText">
    <w:name w:val="Balloon Text"/>
    <w:basedOn w:val="Normal"/>
    <w:link w:val="BalloonTextChar"/>
    <w:uiPriority w:val="99"/>
    <w:semiHidden/>
    <w:unhideWhenUsed/>
    <w:rsid w:val="00DA7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85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conventions.coe.int/Treaty/EN/Reports/Html/140.htm" TargetMode="External"/><Relationship Id="rId8" Type="http://schemas.openxmlformats.org/officeDocument/2006/relationships/hyperlink" Target="http://www.conventions.coe.int/Treaty/FR/Treaties/Html/140.htm" TargetMode="External"/><Relationship Id="rId9" Type="http://schemas.openxmlformats.org/officeDocument/2006/relationships/hyperlink" Target="http://www.conventions.coe.int/treaty/en/Treaties/Html/005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4622</Characters>
  <Application>Microsoft Macintosh Word</Application>
  <DocSecurity>0</DocSecurity>
  <Lines>88</Lines>
  <Paragraphs>41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Gökçeçiçek Ayata</dc:creator>
  <cp:keywords/>
  <dc:description/>
  <cp:lastModifiedBy>Gökçeçiçek Ayata</cp:lastModifiedBy>
  <cp:revision>1</cp:revision>
  <dcterms:created xsi:type="dcterms:W3CDTF">2015-07-25T21:43:00Z</dcterms:created>
  <dcterms:modified xsi:type="dcterms:W3CDTF">2015-07-25T21:44:00Z</dcterms:modified>
</cp:coreProperties>
</file>